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0D7162" w14:textId="14D9CB74" w:rsidR="00B01A9A" w:rsidRPr="001A5071" w:rsidRDefault="00643AE6" w:rsidP="00643AE6">
      <w:pPr>
        <w:spacing w:after="0" w:line="276" w:lineRule="auto"/>
        <w:rPr>
          <w:rFonts w:ascii="Times New Roman" w:hAnsi="Times New Roman"/>
          <w:b/>
          <w:bCs/>
          <w:lang w:val="en-US"/>
        </w:rPr>
      </w:pPr>
      <w:r w:rsidRPr="001A5071">
        <w:rPr>
          <w:rFonts w:ascii="Times New Roman" w:hAnsi="Times New Roman"/>
          <w:b/>
          <w:bCs/>
          <w:lang w:val="en-US"/>
        </w:rPr>
        <w:t>Involvement of NR and/or NOS-like dependent pathways of NO biosynthesis in response of cucumber roots to low temperature</w:t>
      </w:r>
    </w:p>
    <w:p w14:paraId="7ACD6702" w14:textId="4FBDECBB" w:rsidR="00B01A9A" w:rsidRPr="001A5071" w:rsidRDefault="00B01A9A" w:rsidP="00643AE6">
      <w:pPr>
        <w:spacing w:after="0" w:line="276" w:lineRule="auto"/>
        <w:rPr>
          <w:rFonts w:ascii="Times New Roman" w:hAnsi="Times New Roman"/>
          <w:b/>
          <w:bCs/>
        </w:rPr>
      </w:pPr>
      <w:r w:rsidRPr="001A5071">
        <w:rPr>
          <w:rFonts w:ascii="Times New Roman" w:hAnsi="Times New Roman"/>
          <w:b/>
          <w:bCs/>
        </w:rPr>
        <w:t>Udział zależnych od NR i/lub NOS szlaków biosyntezy NO w odpowiedzi korzeni ogórka na niską temperaturę</w:t>
      </w:r>
    </w:p>
    <w:p w14:paraId="0EF85EF8" w14:textId="77777777" w:rsidR="00B01A9A" w:rsidRPr="001A5071" w:rsidRDefault="00B01A9A" w:rsidP="00643AE6">
      <w:pPr>
        <w:spacing w:after="0" w:line="276" w:lineRule="auto"/>
        <w:rPr>
          <w:rFonts w:ascii="Times New Roman" w:hAnsi="Times New Roman"/>
          <w:b/>
          <w:bCs/>
        </w:rPr>
      </w:pPr>
    </w:p>
    <w:p w14:paraId="33A01D24" w14:textId="77777777" w:rsidR="00643AE6" w:rsidRPr="001A5071" w:rsidRDefault="00643AE6" w:rsidP="00643AE6">
      <w:pPr>
        <w:spacing w:after="0" w:line="276" w:lineRule="auto"/>
        <w:rPr>
          <w:rFonts w:ascii="Times New Roman" w:hAnsi="Times New Roman"/>
        </w:rPr>
      </w:pPr>
      <w:r w:rsidRPr="001A5071">
        <w:rPr>
          <w:rFonts w:ascii="Times New Roman" w:hAnsi="Times New Roman"/>
        </w:rPr>
        <w:t>Małgorzata Reda*, Małgorzata Janicka, Jan Stanisławski, Kacper Szczepski and Katarzyna Kabała</w:t>
      </w:r>
    </w:p>
    <w:p w14:paraId="208AB616" w14:textId="77777777" w:rsidR="00643AE6" w:rsidRPr="001A5071" w:rsidRDefault="00643AE6" w:rsidP="00643AE6">
      <w:pPr>
        <w:spacing w:after="0" w:line="276" w:lineRule="auto"/>
        <w:rPr>
          <w:rFonts w:ascii="Times New Roman" w:hAnsi="Times New Roman"/>
          <w:lang w:val="en-US"/>
        </w:rPr>
      </w:pPr>
      <w:r w:rsidRPr="001A5071">
        <w:rPr>
          <w:rFonts w:ascii="Times New Roman" w:hAnsi="Times New Roman"/>
          <w:lang w:val="en-US"/>
        </w:rPr>
        <w:t xml:space="preserve">Department of Plant Molecular Physiology, Faculty of Biological Sciences, University of Wrocław, Kanonia 6/8, 50-328 Wrocław, Poland; malgorzata.reda@uwr.edu.pl (M.R.); malgorzata.janicka@uwr.edu.pl (M.J.); janski9999@gmail.com (J.S.); kacper.szczepski@kaust.edu.sa (K.S.); katarzyna.kabala@uwr.edu.pl (K.K.) </w:t>
      </w:r>
    </w:p>
    <w:p w14:paraId="047832D4" w14:textId="77777777" w:rsidR="00643AE6" w:rsidRPr="001A5071" w:rsidRDefault="00643AE6" w:rsidP="00643AE6">
      <w:pPr>
        <w:spacing w:after="0" w:line="276" w:lineRule="auto"/>
        <w:rPr>
          <w:rFonts w:ascii="Times New Roman" w:hAnsi="Times New Roman"/>
          <w:lang w:val="en-US"/>
        </w:rPr>
      </w:pPr>
      <w:r w:rsidRPr="001A5071">
        <w:rPr>
          <w:rFonts w:ascii="Times New Roman" w:hAnsi="Times New Roman"/>
          <w:lang w:val="en-US"/>
        </w:rPr>
        <w:t xml:space="preserve">*Correspondence: malgorzata.reda@uwr.edu.pl </w:t>
      </w:r>
    </w:p>
    <w:p w14:paraId="1ED12AEF" w14:textId="77777777" w:rsidR="00643AE6" w:rsidRPr="001A5071" w:rsidRDefault="00643AE6" w:rsidP="00643AE6">
      <w:pPr>
        <w:spacing w:after="0" w:line="276" w:lineRule="auto"/>
        <w:rPr>
          <w:rFonts w:ascii="Times New Roman" w:hAnsi="Times New Roman"/>
          <w:b/>
          <w:bCs/>
          <w:lang w:val="en-US"/>
        </w:rPr>
      </w:pPr>
    </w:p>
    <w:p w14:paraId="5968D8BB" w14:textId="77777777" w:rsidR="00643AE6" w:rsidRDefault="00643AE6" w:rsidP="00694D9A">
      <w:pPr>
        <w:spacing w:after="0" w:line="276" w:lineRule="auto"/>
        <w:jc w:val="both"/>
        <w:rPr>
          <w:rFonts w:ascii="Times New Roman" w:hAnsi="Times New Roman"/>
          <w:lang w:val="en-US"/>
        </w:rPr>
      </w:pPr>
      <w:r w:rsidRPr="001A5071">
        <w:rPr>
          <w:rFonts w:ascii="Times New Roman" w:hAnsi="Times New Roman"/>
          <w:b/>
          <w:bCs/>
          <w:lang w:val="en-US"/>
        </w:rPr>
        <w:t>Abstract</w:t>
      </w:r>
      <w:r w:rsidRPr="001A5071">
        <w:rPr>
          <w:rFonts w:ascii="Times New Roman" w:hAnsi="Times New Roman"/>
          <w:lang w:val="en-US"/>
        </w:rPr>
        <w:t>: Nitric oxide (NO) functions as a signaling molecule in plant adaptation to changing environmental conditions. NO levels were found to increase in plants in response to low temperature (LT). However, knowledge of the pathways involved in enhanced NO production under cold stress is still limited. For this reason, we aimed to determine the role of different NO sources in NO generation in cucumber roots exposed to 10°C for short (1 d) and long (6 d) periods. Short-term LT treatment of seedlings increased plasma membrane-bound nitrate reductase (PM-NR) activity and induced the expression of genes encoding NR in cucumber (</w:t>
      </w:r>
      <w:r w:rsidRPr="001A5071">
        <w:rPr>
          <w:rFonts w:ascii="Times New Roman" w:hAnsi="Times New Roman"/>
          <w:i/>
          <w:iCs/>
          <w:lang w:val="en-US"/>
        </w:rPr>
        <w:t>CsNR1-3</w:t>
      </w:r>
      <w:r w:rsidRPr="001A5071">
        <w:rPr>
          <w:rFonts w:ascii="Times New Roman" w:hAnsi="Times New Roman"/>
          <w:lang w:val="en-US"/>
        </w:rPr>
        <w:t xml:space="preserve">). On the other hand, long-term exposure was related to increased cytoplasmic NR (cNR) activity and induced expression of the </w:t>
      </w:r>
      <w:r w:rsidRPr="001A5071">
        <w:rPr>
          <w:rFonts w:ascii="Times New Roman" w:hAnsi="Times New Roman"/>
          <w:i/>
          <w:iCs/>
          <w:lang w:val="en-US"/>
        </w:rPr>
        <w:t>CsARC</w:t>
      </w:r>
      <w:r w:rsidRPr="001A5071">
        <w:rPr>
          <w:rFonts w:ascii="Times New Roman" w:hAnsi="Times New Roman"/>
          <w:lang w:val="en-US"/>
        </w:rPr>
        <w:t xml:space="preserve"> gene, encoding the amidoxime-reducing component (ARC) protein. The decrease in nitrite reductase (NiR) activity and the higher NO</w:t>
      </w:r>
      <w:r w:rsidRPr="001A5071">
        <w:rPr>
          <w:rFonts w:ascii="Times New Roman" w:hAnsi="Times New Roman"/>
          <w:vertAlign w:val="subscript"/>
          <w:lang w:val="en-US"/>
        </w:rPr>
        <w:t>2</w:t>
      </w:r>
      <w:r w:rsidRPr="001A5071">
        <w:rPr>
          <w:rFonts w:ascii="Times New Roman" w:hAnsi="Times New Roman"/>
          <w:vertAlign w:val="superscript"/>
          <w:lang w:val="en-US"/>
        </w:rPr>
        <w:t>-</w:t>
      </w:r>
      <w:r w:rsidRPr="001A5071">
        <w:rPr>
          <w:rFonts w:ascii="Times New Roman" w:hAnsi="Times New Roman"/>
          <w:lang w:val="en-US"/>
        </w:rPr>
        <w:t>/NO</w:t>
      </w:r>
      <w:r w:rsidRPr="001A5071">
        <w:rPr>
          <w:rFonts w:ascii="Times New Roman" w:hAnsi="Times New Roman"/>
          <w:vertAlign w:val="subscript"/>
          <w:lang w:val="en-US"/>
        </w:rPr>
        <w:t>3</w:t>
      </w:r>
      <w:r w:rsidRPr="001A5071">
        <w:rPr>
          <w:rFonts w:ascii="Times New Roman" w:hAnsi="Times New Roman"/>
          <w:vertAlign w:val="superscript"/>
          <w:lang w:val="en-US"/>
        </w:rPr>
        <w:t>-</w:t>
      </w:r>
      <w:r w:rsidRPr="001A5071">
        <w:rPr>
          <w:rFonts w:ascii="Times New Roman" w:hAnsi="Times New Roman"/>
          <w:lang w:val="en-US"/>
        </w:rPr>
        <w:t xml:space="preserve"> ratio in the roots of plants exposed to LT for 1 d suggest that tissue conditions may favor NR-dependent NO production. Regardless of NR stimulation, a significant increase in NOS-like activity was observed in the roots, especially during long-term LT treatment. These results indicate that diverse NO-producing routes, both reductive and oxidative, are activated in cucumber tissues at different stages of cold stress.</w:t>
      </w:r>
    </w:p>
    <w:p w14:paraId="5EA0B014" w14:textId="77777777" w:rsidR="00694D9A" w:rsidRDefault="00694D9A" w:rsidP="00694D9A">
      <w:pPr>
        <w:spacing w:after="0" w:line="276" w:lineRule="auto"/>
        <w:jc w:val="both"/>
        <w:rPr>
          <w:rFonts w:ascii="Times New Roman" w:hAnsi="Times New Roman"/>
          <w:lang w:val="en-US"/>
        </w:rPr>
      </w:pPr>
    </w:p>
    <w:p w14:paraId="08A15CCB" w14:textId="67489324" w:rsidR="00694D9A" w:rsidRPr="00694D9A" w:rsidRDefault="00694D9A" w:rsidP="00694D9A">
      <w:pPr>
        <w:spacing w:after="0" w:line="276" w:lineRule="auto"/>
        <w:jc w:val="both"/>
        <w:rPr>
          <w:rFonts w:ascii="Times New Roman" w:hAnsi="Times New Roman"/>
        </w:rPr>
      </w:pPr>
      <w:r w:rsidRPr="00694D9A">
        <w:rPr>
          <w:rFonts w:ascii="Times New Roman" w:hAnsi="Times New Roman"/>
        </w:rPr>
        <w:t>Ab</w:t>
      </w:r>
      <w:r>
        <w:rPr>
          <w:rFonts w:ascii="Times New Roman" w:hAnsi="Times New Roman"/>
        </w:rPr>
        <w:t xml:space="preserve">stract: </w:t>
      </w:r>
      <w:r w:rsidRPr="00694D9A">
        <w:rPr>
          <w:rFonts w:ascii="Times New Roman" w:hAnsi="Times New Roman"/>
        </w:rPr>
        <w:t xml:space="preserve">Tlenek azotu (NO) pełni funkcję cząsteczki sygnalizacyjnej w adaptacji roślin do zmieniających się warunków środowiskowych. Stwierdzono, że poziom NO w roślinach wzrasta w odpowiedzi na niską temperaturę (LT). Jednakże wiedza na temat szlaków zaangażowanych w zwiększoną produkcję NO w warunkach stresu </w:t>
      </w:r>
      <w:r>
        <w:rPr>
          <w:rFonts w:ascii="Times New Roman" w:hAnsi="Times New Roman"/>
        </w:rPr>
        <w:t>chłodu</w:t>
      </w:r>
      <w:r w:rsidRPr="00694D9A">
        <w:rPr>
          <w:rFonts w:ascii="Times New Roman" w:hAnsi="Times New Roman"/>
        </w:rPr>
        <w:t xml:space="preserve"> jest nadal ograniczona. Z tego powodu naszym celem było określenie roli różnych źródeł NO w wytwarzaniu NO w korzeniach ogórka narażonych na działanie temperatury 10°C przez krótki (1 dzień) i długi (6 dni) okres. Krótkoterminowe traktowanie </w:t>
      </w:r>
      <w:r>
        <w:rPr>
          <w:rFonts w:ascii="Times New Roman" w:hAnsi="Times New Roman"/>
        </w:rPr>
        <w:t>siewek nis</w:t>
      </w:r>
      <w:r w:rsidR="005302D0">
        <w:rPr>
          <w:rFonts w:ascii="Times New Roman" w:hAnsi="Times New Roman"/>
        </w:rPr>
        <w:t>ką temperaturą</w:t>
      </w:r>
      <w:r w:rsidRPr="00694D9A">
        <w:rPr>
          <w:rFonts w:ascii="Times New Roman" w:hAnsi="Times New Roman"/>
        </w:rPr>
        <w:t xml:space="preserve"> zwiększyło aktywność reduktazy azotanowej związanej z błoną komórkową (PM-NR) i indukowało ekspresję genów kodujących NR </w:t>
      </w:r>
      <w:r w:rsidR="005302D0">
        <w:rPr>
          <w:rFonts w:ascii="Times New Roman" w:hAnsi="Times New Roman"/>
        </w:rPr>
        <w:t>u</w:t>
      </w:r>
      <w:r w:rsidRPr="00694D9A">
        <w:rPr>
          <w:rFonts w:ascii="Times New Roman" w:hAnsi="Times New Roman"/>
        </w:rPr>
        <w:t xml:space="preserve"> ogórk</w:t>
      </w:r>
      <w:r w:rsidR="005302D0">
        <w:rPr>
          <w:rFonts w:ascii="Times New Roman" w:hAnsi="Times New Roman"/>
        </w:rPr>
        <w:t>a</w:t>
      </w:r>
      <w:r w:rsidRPr="00694D9A">
        <w:rPr>
          <w:rFonts w:ascii="Times New Roman" w:hAnsi="Times New Roman"/>
        </w:rPr>
        <w:t xml:space="preserve"> (</w:t>
      </w:r>
      <w:r w:rsidRPr="005302D0">
        <w:rPr>
          <w:rFonts w:ascii="Times New Roman" w:hAnsi="Times New Roman"/>
          <w:i/>
          <w:iCs/>
        </w:rPr>
        <w:t>CsNR1-3</w:t>
      </w:r>
      <w:r w:rsidRPr="00694D9A">
        <w:rPr>
          <w:rFonts w:ascii="Times New Roman" w:hAnsi="Times New Roman"/>
        </w:rPr>
        <w:t>). Z drugiej strony, długoterminowa ekspozycja była związana ze zwiększoną aktywnością cytoplazmatyczn</w:t>
      </w:r>
      <w:r w:rsidR="005302D0">
        <w:rPr>
          <w:rFonts w:ascii="Times New Roman" w:hAnsi="Times New Roman"/>
        </w:rPr>
        <w:t>ej</w:t>
      </w:r>
      <w:r w:rsidRPr="00694D9A">
        <w:rPr>
          <w:rFonts w:ascii="Times New Roman" w:hAnsi="Times New Roman"/>
        </w:rPr>
        <w:t xml:space="preserve"> NR (cNR) i induk</w:t>
      </w:r>
      <w:r w:rsidR="005302D0">
        <w:rPr>
          <w:rFonts w:ascii="Times New Roman" w:hAnsi="Times New Roman"/>
        </w:rPr>
        <w:t>cją</w:t>
      </w:r>
      <w:r w:rsidRPr="00694D9A">
        <w:rPr>
          <w:rFonts w:ascii="Times New Roman" w:hAnsi="Times New Roman"/>
        </w:rPr>
        <w:t xml:space="preserve"> ekspresj</w:t>
      </w:r>
      <w:r w:rsidR="005302D0">
        <w:rPr>
          <w:rFonts w:ascii="Times New Roman" w:hAnsi="Times New Roman"/>
        </w:rPr>
        <w:t>i</w:t>
      </w:r>
      <w:r w:rsidRPr="00694D9A">
        <w:rPr>
          <w:rFonts w:ascii="Times New Roman" w:hAnsi="Times New Roman"/>
        </w:rPr>
        <w:t xml:space="preserve"> genu </w:t>
      </w:r>
      <w:r w:rsidRPr="005302D0">
        <w:rPr>
          <w:rFonts w:ascii="Times New Roman" w:hAnsi="Times New Roman"/>
          <w:i/>
          <w:iCs/>
        </w:rPr>
        <w:t>CsARC</w:t>
      </w:r>
      <w:r w:rsidRPr="00694D9A">
        <w:rPr>
          <w:rFonts w:ascii="Times New Roman" w:hAnsi="Times New Roman"/>
        </w:rPr>
        <w:t xml:space="preserve">, kodującego białko </w:t>
      </w:r>
      <w:r w:rsidR="005302D0">
        <w:rPr>
          <w:rFonts w:ascii="Times New Roman" w:hAnsi="Times New Roman"/>
        </w:rPr>
        <w:t>komponent</w:t>
      </w:r>
      <w:r w:rsidRPr="00694D9A">
        <w:rPr>
          <w:rFonts w:ascii="Times New Roman" w:hAnsi="Times New Roman"/>
        </w:rPr>
        <w:t xml:space="preserve"> redukujący amidoksym (ARC). Spadek aktywności reduktazy azotynowej (NiR) i wyższy stosunek NO</w:t>
      </w:r>
      <w:r w:rsidRPr="005302D0">
        <w:rPr>
          <w:rFonts w:ascii="Times New Roman" w:hAnsi="Times New Roman"/>
          <w:vertAlign w:val="subscript"/>
        </w:rPr>
        <w:t>2</w:t>
      </w:r>
      <w:r w:rsidRPr="005302D0">
        <w:rPr>
          <w:rFonts w:ascii="Times New Roman" w:hAnsi="Times New Roman"/>
          <w:vertAlign w:val="superscript"/>
        </w:rPr>
        <w:t>-</w:t>
      </w:r>
      <w:r w:rsidRPr="00694D9A">
        <w:rPr>
          <w:rFonts w:ascii="Times New Roman" w:hAnsi="Times New Roman"/>
        </w:rPr>
        <w:t>/NO</w:t>
      </w:r>
      <w:r w:rsidRPr="005302D0">
        <w:rPr>
          <w:rFonts w:ascii="Times New Roman" w:hAnsi="Times New Roman"/>
          <w:vertAlign w:val="subscript"/>
        </w:rPr>
        <w:t>3</w:t>
      </w:r>
      <w:r w:rsidRPr="005302D0">
        <w:rPr>
          <w:rFonts w:ascii="Times New Roman" w:hAnsi="Times New Roman"/>
          <w:vertAlign w:val="superscript"/>
        </w:rPr>
        <w:t>-</w:t>
      </w:r>
      <w:r w:rsidRPr="00694D9A">
        <w:rPr>
          <w:rFonts w:ascii="Times New Roman" w:hAnsi="Times New Roman"/>
        </w:rPr>
        <w:t xml:space="preserve"> w korzeniach roślin narażonych na LT przez 1 dzień sugerują, że warunki tkankowe mogą sprzyjać zależnej od NR produkcji NO. Niezależnie od stymulacji NR zaobserwowano istotny wzrost aktywności NOS-podobnej w korzeniach, zwłaszcza podczas długotrwałej </w:t>
      </w:r>
      <w:r w:rsidR="005302D0">
        <w:rPr>
          <w:rFonts w:ascii="Times New Roman" w:hAnsi="Times New Roman"/>
        </w:rPr>
        <w:t>ekspozycji na</w:t>
      </w:r>
      <w:r w:rsidRPr="00694D9A">
        <w:rPr>
          <w:rFonts w:ascii="Times New Roman" w:hAnsi="Times New Roman"/>
        </w:rPr>
        <w:t xml:space="preserve"> LT. Wyniki te wskazują, że różne drogi wytwarzania NO, zarówno redukcyjne, jak i oksydacyjne, są aktywowane w tkankach ogórka na różnych etapach stresu </w:t>
      </w:r>
      <w:r w:rsidR="00CA7737">
        <w:rPr>
          <w:rFonts w:ascii="Times New Roman" w:hAnsi="Times New Roman"/>
        </w:rPr>
        <w:t>chłodu</w:t>
      </w:r>
      <w:r w:rsidRPr="00694D9A">
        <w:rPr>
          <w:rFonts w:ascii="Times New Roman" w:hAnsi="Times New Roman"/>
        </w:rPr>
        <w:t>.</w:t>
      </w:r>
    </w:p>
    <w:p w14:paraId="264F69D5" w14:textId="77777777" w:rsidR="00643AE6" w:rsidRPr="00694D9A" w:rsidRDefault="00643AE6" w:rsidP="00694D9A">
      <w:pPr>
        <w:spacing w:after="0" w:line="276" w:lineRule="auto"/>
        <w:jc w:val="both"/>
        <w:rPr>
          <w:rFonts w:ascii="Times New Roman" w:hAnsi="Times New Roman"/>
        </w:rPr>
      </w:pPr>
    </w:p>
    <w:p w14:paraId="4F9BD96F" w14:textId="77777777" w:rsidR="00643AE6" w:rsidRPr="001A5071" w:rsidRDefault="00643AE6" w:rsidP="00694D9A">
      <w:pPr>
        <w:spacing w:after="0" w:line="276" w:lineRule="auto"/>
        <w:jc w:val="both"/>
        <w:rPr>
          <w:rFonts w:ascii="Times New Roman" w:hAnsi="Times New Roman"/>
          <w:lang w:val="en-US"/>
        </w:rPr>
      </w:pPr>
      <w:r w:rsidRPr="001A5071">
        <w:rPr>
          <w:rFonts w:ascii="Times New Roman" w:hAnsi="Times New Roman"/>
          <w:b/>
          <w:bCs/>
          <w:lang w:val="en-US"/>
        </w:rPr>
        <w:t>Keywords</w:t>
      </w:r>
      <w:r w:rsidRPr="001A5071">
        <w:rPr>
          <w:rFonts w:ascii="Times New Roman" w:hAnsi="Times New Roman"/>
          <w:lang w:val="en-US"/>
        </w:rPr>
        <w:t>: nitric oxide; low temperature stress; nitrate reductase; nitric oxide synthase-like activity; ARC protein</w:t>
      </w:r>
    </w:p>
    <w:p w14:paraId="18D702CF" w14:textId="5F4DBDD3" w:rsidR="00643AE6" w:rsidRPr="00B57500" w:rsidRDefault="001A5071" w:rsidP="00694D9A">
      <w:pPr>
        <w:jc w:val="both"/>
        <w:rPr>
          <w:rFonts w:ascii="Times New Roman" w:hAnsi="Times New Roman" w:cs="Times New Roman"/>
          <w:sz w:val="20"/>
          <w:szCs w:val="20"/>
        </w:rPr>
      </w:pPr>
      <w:r w:rsidRPr="008F02E6">
        <w:rPr>
          <w:rFonts w:ascii="Times New Roman" w:hAnsi="Times New Roman" w:cs="Times New Roman"/>
          <w:b/>
          <w:bCs/>
          <w:sz w:val="20"/>
          <w:szCs w:val="20"/>
        </w:rPr>
        <w:t>Słowa klucze</w:t>
      </w:r>
      <w:r w:rsidRPr="00B57500">
        <w:rPr>
          <w:rFonts w:ascii="Times New Roman" w:hAnsi="Times New Roman" w:cs="Times New Roman"/>
          <w:sz w:val="20"/>
          <w:szCs w:val="20"/>
        </w:rPr>
        <w:t xml:space="preserve">: </w:t>
      </w:r>
      <w:r w:rsidR="00B57500" w:rsidRPr="00B57500">
        <w:rPr>
          <w:rFonts w:ascii="Times New Roman" w:hAnsi="Times New Roman" w:cs="Times New Roman"/>
          <w:sz w:val="20"/>
          <w:szCs w:val="20"/>
        </w:rPr>
        <w:t>t</w:t>
      </w:r>
      <w:r w:rsidR="00B57500">
        <w:rPr>
          <w:rFonts w:ascii="Times New Roman" w:hAnsi="Times New Roman" w:cs="Times New Roman"/>
          <w:sz w:val="20"/>
          <w:szCs w:val="20"/>
        </w:rPr>
        <w:t xml:space="preserve">lenek azotu, stres niskiej temperatury, reduktaza azotanowa, </w:t>
      </w:r>
      <w:r w:rsidR="008F02E6">
        <w:rPr>
          <w:rFonts w:ascii="Times New Roman" w:hAnsi="Times New Roman" w:cs="Times New Roman"/>
          <w:sz w:val="20"/>
          <w:szCs w:val="20"/>
        </w:rPr>
        <w:t>aktywność podobna do NOS, białko ARC</w:t>
      </w:r>
      <w:r w:rsidR="00643AE6" w:rsidRPr="00B57500">
        <w:rPr>
          <w:rFonts w:ascii="Times New Roman" w:hAnsi="Times New Roman" w:cs="Times New Roman"/>
          <w:sz w:val="20"/>
          <w:szCs w:val="20"/>
        </w:rPr>
        <w:br w:type="page"/>
      </w:r>
    </w:p>
    <w:p w14:paraId="65605BB5" w14:textId="0D33D74B" w:rsidR="000068E8" w:rsidRPr="009D4718" w:rsidRDefault="000068E8">
      <w:pPr>
        <w:rPr>
          <w:rFonts w:ascii="Times New Roman" w:hAnsi="Times New Roman" w:cs="Times New Roman"/>
        </w:rPr>
      </w:pPr>
      <w:r w:rsidRPr="009D4718">
        <w:rPr>
          <w:rFonts w:ascii="Times New Roman" w:hAnsi="Times New Roman" w:cs="Times New Roman"/>
        </w:rPr>
        <w:lastRenderedPageBreak/>
        <w:t>Figure1</w:t>
      </w:r>
    </w:p>
    <w:p w14:paraId="1B125E43" w14:textId="73CFCD6F" w:rsidR="000C4A01" w:rsidRDefault="000C4A01">
      <w:r w:rsidRPr="009D4718">
        <w:t>A)</w:t>
      </w:r>
    </w:p>
    <w:p w14:paraId="7025487C" w14:textId="262D1D82" w:rsidR="000C4A01" w:rsidRPr="009D4718" w:rsidRDefault="00626D4E">
      <w:r>
        <w:rPr>
          <w:noProof/>
        </w:rPr>
        <w:drawing>
          <wp:inline distT="0" distB="0" distL="0" distR="0" wp14:anchorId="2369BEB6" wp14:editId="09EB1062">
            <wp:extent cx="4518025" cy="3206259"/>
            <wp:effectExtent l="0" t="0" r="0" b="0"/>
            <wp:docPr id="1116972980" name="Obraz 1" descr="Obraz zawierający zrzut ekranu, Wielobarwność, zieleń&#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6972980" name="Obraz 1" descr="Obraz zawierający zrzut ekranu, Wielobarwność, zieleń&#10;&#10;Opis wygenerowany automatyczni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39955" cy="3221822"/>
                    </a:xfrm>
                    <a:prstGeom prst="rect">
                      <a:avLst/>
                    </a:prstGeom>
                    <a:noFill/>
                  </pic:spPr>
                </pic:pic>
              </a:graphicData>
            </a:graphic>
          </wp:inline>
        </w:drawing>
      </w:r>
    </w:p>
    <w:p w14:paraId="12677673" w14:textId="0AA36FA4" w:rsidR="00044FBC" w:rsidRDefault="000C4A01">
      <w:pPr>
        <w:rPr>
          <w:lang w:val="en-US"/>
        </w:rPr>
      </w:pPr>
      <w:r w:rsidRPr="003C3776">
        <w:rPr>
          <w:lang w:val="en-US"/>
        </w:rPr>
        <w:t xml:space="preserve">B)  </w:t>
      </w:r>
    </w:p>
    <w:p w14:paraId="6A744A44" w14:textId="0CE5BF8A" w:rsidR="009C3C4B" w:rsidRPr="00A5141C" w:rsidRDefault="00A5141C" w:rsidP="00A5141C">
      <w:pPr>
        <w:jc w:val="center"/>
        <w:rPr>
          <w:lang w:val="en-US"/>
        </w:rPr>
      </w:pPr>
      <w:r>
        <w:rPr>
          <w:noProof/>
          <w:lang w:val="en-US"/>
        </w:rPr>
        <w:drawing>
          <wp:inline distT="0" distB="0" distL="0" distR="0" wp14:anchorId="66D0785C" wp14:editId="69A239E6">
            <wp:extent cx="3676015" cy="2554605"/>
            <wp:effectExtent l="0" t="0" r="635" b="0"/>
            <wp:docPr id="109217177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676015" cy="2554605"/>
                    </a:xfrm>
                    <a:prstGeom prst="rect">
                      <a:avLst/>
                    </a:prstGeom>
                    <a:noFill/>
                  </pic:spPr>
                </pic:pic>
              </a:graphicData>
            </a:graphic>
          </wp:inline>
        </w:drawing>
      </w:r>
    </w:p>
    <w:p w14:paraId="7F68F813" w14:textId="77777777" w:rsidR="00C209EC" w:rsidRDefault="00C209EC" w:rsidP="00C209EC">
      <w:pPr>
        <w:spacing w:after="0"/>
        <w:jc w:val="both"/>
        <w:rPr>
          <w:rFonts w:ascii="Times New Roman" w:hAnsi="Times New Roman"/>
          <w:bCs/>
          <w:lang w:val="en-US"/>
        </w:rPr>
      </w:pPr>
      <w:r w:rsidRPr="008D0005">
        <w:rPr>
          <w:rFonts w:ascii="Times New Roman" w:hAnsi="Times New Roman"/>
          <w:b/>
          <w:lang w:val="en-US"/>
        </w:rPr>
        <w:t>Figure 1</w:t>
      </w:r>
      <w:r w:rsidRPr="008D0005">
        <w:rPr>
          <w:rFonts w:ascii="Times New Roman" w:hAnsi="Times New Roman"/>
          <w:bCs/>
          <w:lang w:val="en-US"/>
        </w:rPr>
        <w:t>. Bio-imaging of NO production (A) and mean DAF-2D related fluorescence density (B) in root apical segments of cucumber seedlings not treated (control) and treated with LT for 1 day (LT 1d) and 6 days (LT 6d). Some sets of plants were incubated in the presence of NR inhibitor (0.1 mM sodium tungstate; +WO</w:t>
      </w:r>
      <w:r w:rsidRPr="008D0005">
        <w:rPr>
          <w:rFonts w:ascii="Times New Roman" w:hAnsi="Times New Roman"/>
          <w:bCs/>
          <w:vertAlign w:val="subscript"/>
          <w:lang w:val="en-US"/>
        </w:rPr>
        <w:t>4</w:t>
      </w:r>
      <w:r w:rsidRPr="008D0005">
        <w:rPr>
          <w:rFonts w:ascii="Times New Roman" w:hAnsi="Times New Roman"/>
          <w:bCs/>
          <w:vertAlign w:val="superscript"/>
          <w:lang w:val="en-US"/>
        </w:rPr>
        <w:t>2-</w:t>
      </w:r>
      <w:r w:rsidRPr="008D0005">
        <w:rPr>
          <w:rFonts w:ascii="Times New Roman" w:hAnsi="Times New Roman"/>
          <w:bCs/>
          <w:lang w:val="en-US"/>
        </w:rPr>
        <w:t>) or mammalian NOS inhibitor (0.1 mM AET, +AET). Bio-imaging of NO generation was monitored by labeling with the NO-specific fluorescent dye, DAF-2D and imaged using fluorescence microscopy. The images shown in (A) are representative for at least 3-5 roots for each treatment from 3 independent replications of the experiment. Asterisks in (B) indicate a difference in comparison to control (Student’s t-test, p&lt;0.05).</w:t>
      </w:r>
    </w:p>
    <w:p w14:paraId="3D3B85CA" w14:textId="7420301B" w:rsidR="00537339" w:rsidRDefault="00537339">
      <w:pPr>
        <w:rPr>
          <w:lang w:val="en-US"/>
        </w:rPr>
      </w:pPr>
      <w:r>
        <w:rPr>
          <w:lang w:val="en-US"/>
        </w:rPr>
        <w:br w:type="page"/>
      </w:r>
    </w:p>
    <w:p w14:paraId="0F3ABD73" w14:textId="77777777" w:rsidR="006F2B03" w:rsidRDefault="00537339">
      <w:pPr>
        <w:rPr>
          <w:rFonts w:ascii="Times New Roman" w:hAnsi="Times New Roman" w:cs="Times New Roman"/>
          <w:lang w:val="en-US"/>
        </w:rPr>
      </w:pPr>
      <w:r w:rsidRPr="008B6B51">
        <w:rPr>
          <w:rFonts w:ascii="Times New Roman" w:hAnsi="Times New Roman" w:cs="Times New Roman"/>
          <w:lang w:val="en-US"/>
        </w:rPr>
        <w:lastRenderedPageBreak/>
        <w:t>Figure2</w:t>
      </w:r>
      <w:r w:rsidR="00216C89" w:rsidRPr="008B6B51">
        <w:rPr>
          <w:rFonts w:ascii="Times New Roman" w:hAnsi="Times New Roman" w:cs="Times New Roman"/>
          <w:lang w:val="en-US"/>
        </w:rPr>
        <w:t>.</w:t>
      </w:r>
    </w:p>
    <w:p w14:paraId="2271308D" w14:textId="78A19827" w:rsidR="00E46BF0" w:rsidRDefault="00E46BF0">
      <w:pPr>
        <w:rPr>
          <w:rFonts w:ascii="Times New Roman" w:hAnsi="Times New Roman" w:cs="Times New Roman"/>
          <w:lang w:val="en-US"/>
        </w:rPr>
      </w:pPr>
      <w:r>
        <w:rPr>
          <w:rFonts w:ascii="Times New Roman" w:hAnsi="Times New Roman" w:cs="Times New Roman"/>
          <w:noProof/>
          <w:lang w:val="en-US"/>
        </w:rPr>
        <w:drawing>
          <wp:inline distT="0" distB="0" distL="0" distR="0" wp14:anchorId="6C76BC4D" wp14:editId="75FA45B5">
            <wp:extent cx="5562600" cy="5886646"/>
            <wp:effectExtent l="0" t="0" r="0" b="0"/>
            <wp:docPr id="1916590040"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75145" cy="5899921"/>
                    </a:xfrm>
                    <a:prstGeom prst="rect">
                      <a:avLst/>
                    </a:prstGeom>
                    <a:noFill/>
                  </pic:spPr>
                </pic:pic>
              </a:graphicData>
            </a:graphic>
          </wp:inline>
        </w:drawing>
      </w:r>
    </w:p>
    <w:p w14:paraId="08A20C06" w14:textId="77777777" w:rsidR="00FF22FE" w:rsidRDefault="00FF22FE" w:rsidP="00FF22FE">
      <w:pPr>
        <w:pStyle w:val="MDPI22heading2"/>
        <w:spacing w:before="0" w:line="276" w:lineRule="auto"/>
        <w:ind w:left="0"/>
        <w:jc w:val="both"/>
        <w:rPr>
          <w:rFonts w:ascii="Times New Roman" w:hAnsi="Times New Roman"/>
          <w:i w:val="0"/>
          <w:sz w:val="22"/>
        </w:rPr>
      </w:pPr>
      <w:r w:rsidRPr="007D6BA4">
        <w:rPr>
          <w:rFonts w:ascii="Times New Roman" w:hAnsi="Times New Roman"/>
          <w:b/>
          <w:bCs/>
          <w:i w:val="0"/>
          <w:sz w:val="22"/>
        </w:rPr>
        <w:t>Figure 2</w:t>
      </w:r>
      <w:r w:rsidRPr="007D6BA4">
        <w:rPr>
          <w:rFonts w:ascii="Times New Roman" w:hAnsi="Times New Roman"/>
          <w:i w:val="0"/>
          <w:sz w:val="22"/>
        </w:rPr>
        <w:t>. Total activity, actual activity and enzyme activation state of cNR (A, B and C, respectively) and PM-NR (D, E and F, respectively) in roots of cucumber seedlings not treated (control) and treated with LT for 1 day (LT 1d) and 6 days (LT 6d). 326.96 ± 40.1 (A) and 98.30 ± 15.05 (B) nmol NO</w:t>
      </w:r>
      <w:r w:rsidRPr="007D6BA4">
        <w:rPr>
          <w:rFonts w:ascii="Times New Roman" w:hAnsi="Times New Roman"/>
          <w:i w:val="0"/>
          <w:sz w:val="22"/>
          <w:vertAlign w:val="subscript"/>
        </w:rPr>
        <w:t>2</w:t>
      </w:r>
      <w:r w:rsidRPr="007D6BA4">
        <w:rPr>
          <w:rFonts w:ascii="Times New Roman" w:hAnsi="Times New Roman"/>
          <w:i w:val="0"/>
          <w:sz w:val="22"/>
          <w:vertAlign w:val="superscript"/>
        </w:rPr>
        <w:t>-</w:t>
      </w:r>
      <w:r w:rsidRPr="007D6BA4">
        <w:rPr>
          <w:rFonts w:ascii="Times New Roman" w:hAnsi="Times New Roman"/>
          <w:i w:val="0"/>
          <w:sz w:val="22"/>
        </w:rPr>
        <w:t xml:space="preserve"> × g FW</w:t>
      </w:r>
      <w:r w:rsidRPr="007D6BA4">
        <w:rPr>
          <w:rFonts w:ascii="Times New Roman" w:hAnsi="Times New Roman"/>
          <w:i w:val="0"/>
          <w:sz w:val="22"/>
          <w:vertAlign w:val="superscript"/>
        </w:rPr>
        <w:t>-1</w:t>
      </w:r>
      <w:r w:rsidRPr="007D6BA4">
        <w:rPr>
          <w:rFonts w:ascii="Times New Roman" w:hAnsi="Times New Roman"/>
          <w:i w:val="0"/>
          <w:sz w:val="22"/>
        </w:rPr>
        <w:t xml:space="preserve"> × h</w:t>
      </w:r>
      <w:r w:rsidRPr="007D6BA4">
        <w:rPr>
          <w:rFonts w:ascii="Times New Roman" w:hAnsi="Times New Roman"/>
          <w:i w:val="0"/>
          <w:sz w:val="22"/>
          <w:vertAlign w:val="superscript"/>
        </w:rPr>
        <w:t>-1</w:t>
      </w:r>
      <w:r w:rsidRPr="007D6BA4">
        <w:rPr>
          <w:rFonts w:ascii="Times New Roman" w:hAnsi="Times New Roman"/>
          <w:i w:val="0"/>
          <w:sz w:val="22"/>
        </w:rPr>
        <w:t xml:space="preserve"> were used as 100% for cNR. 223.22 ± 59.16 (D) and 155.01 ± 35.01 (E) nmol NO</w:t>
      </w:r>
      <w:r w:rsidRPr="007D6BA4">
        <w:rPr>
          <w:rFonts w:ascii="Times New Roman" w:hAnsi="Times New Roman"/>
          <w:i w:val="0"/>
          <w:sz w:val="22"/>
          <w:vertAlign w:val="subscript"/>
        </w:rPr>
        <w:t>2</w:t>
      </w:r>
      <w:r w:rsidRPr="007D6BA4">
        <w:rPr>
          <w:rFonts w:ascii="Times New Roman" w:hAnsi="Times New Roman"/>
          <w:i w:val="0"/>
          <w:sz w:val="22"/>
          <w:vertAlign w:val="superscript"/>
        </w:rPr>
        <w:t>-</w:t>
      </w:r>
      <w:r w:rsidRPr="007D6BA4">
        <w:rPr>
          <w:rFonts w:ascii="Times New Roman" w:hAnsi="Times New Roman"/>
          <w:i w:val="0"/>
          <w:sz w:val="22"/>
        </w:rPr>
        <w:t xml:space="preserve"> × mg</w:t>
      </w:r>
      <w:r w:rsidRPr="007D6BA4">
        <w:rPr>
          <w:rFonts w:ascii="Times New Roman" w:hAnsi="Times New Roman"/>
          <w:i w:val="0"/>
          <w:sz w:val="22"/>
          <w:vertAlign w:val="superscript"/>
        </w:rPr>
        <w:t>-1</w:t>
      </w:r>
      <w:r w:rsidRPr="007D6BA4">
        <w:rPr>
          <w:rFonts w:ascii="Times New Roman" w:hAnsi="Times New Roman"/>
          <w:i w:val="0"/>
          <w:sz w:val="22"/>
        </w:rPr>
        <w:t xml:space="preserve"> protein × h</w:t>
      </w:r>
      <w:r w:rsidRPr="007D6BA4">
        <w:rPr>
          <w:rFonts w:ascii="Times New Roman" w:hAnsi="Times New Roman"/>
          <w:i w:val="0"/>
          <w:sz w:val="22"/>
          <w:vertAlign w:val="superscript"/>
        </w:rPr>
        <w:t>-1</w:t>
      </w:r>
      <w:r w:rsidRPr="007D6BA4">
        <w:rPr>
          <w:rFonts w:ascii="Times New Roman" w:hAnsi="Times New Roman"/>
          <w:i w:val="0"/>
          <w:sz w:val="22"/>
        </w:rPr>
        <w:t xml:space="preserve"> were used as 100% for PM-NR. All results are means ± SD of 3 replications of 4 independent experiments. Asterisks indicate significant difference in comparison to control (Student’s t-test, p&lt;0.05).</w:t>
      </w:r>
    </w:p>
    <w:p w14:paraId="56FC3124" w14:textId="77777777" w:rsidR="003B3BFC" w:rsidRPr="00D75497" w:rsidRDefault="003B3BFC" w:rsidP="003B3BFC">
      <w:pPr>
        <w:spacing w:after="0" w:line="360" w:lineRule="auto"/>
        <w:jc w:val="both"/>
        <w:rPr>
          <w:rFonts w:ascii="Times New Roman" w:hAnsi="Times New Roman"/>
          <w:color w:val="0070C0"/>
          <w:sz w:val="24"/>
          <w:szCs w:val="24"/>
          <w:lang w:val="en-US"/>
        </w:rPr>
      </w:pPr>
    </w:p>
    <w:p w14:paraId="054B94FB" w14:textId="2F9B5318" w:rsidR="00D10011" w:rsidRDefault="00D10011">
      <w:pPr>
        <w:rPr>
          <w:lang w:val="en-US"/>
        </w:rPr>
      </w:pPr>
      <w:r>
        <w:rPr>
          <w:lang w:val="en-US"/>
        </w:rPr>
        <w:br w:type="page"/>
      </w:r>
    </w:p>
    <w:p w14:paraId="0411D304" w14:textId="77777777" w:rsidR="006F14C1" w:rsidRPr="00F01D35" w:rsidRDefault="00443AB0">
      <w:pPr>
        <w:rPr>
          <w:rFonts w:ascii="Times New Roman" w:hAnsi="Times New Roman" w:cs="Times New Roman"/>
          <w:lang w:val="en-US"/>
        </w:rPr>
      </w:pPr>
      <w:r w:rsidRPr="00F01D35">
        <w:rPr>
          <w:rFonts w:ascii="Times New Roman" w:hAnsi="Times New Roman" w:cs="Times New Roman"/>
          <w:lang w:val="en-US"/>
        </w:rPr>
        <w:lastRenderedPageBreak/>
        <w:t>Figure 3</w:t>
      </w:r>
    </w:p>
    <w:p w14:paraId="74CF8AF2" w14:textId="28955605" w:rsidR="003B3BFC" w:rsidRDefault="006F14C1">
      <w:pPr>
        <w:rPr>
          <w:lang w:val="en-US"/>
        </w:rPr>
      </w:pPr>
      <w:r>
        <w:rPr>
          <w:noProof/>
          <w:lang w:val="en-US"/>
        </w:rPr>
        <w:drawing>
          <wp:inline distT="0" distB="0" distL="0" distR="0" wp14:anchorId="55A3BBAA" wp14:editId="55F6431D">
            <wp:extent cx="3651885" cy="2597150"/>
            <wp:effectExtent l="0" t="0" r="5715" b="0"/>
            <wp:docPr id="719981145"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51885" cy="2597150"/>
                    </a:xfrm>
                    <a:prstGeom prst="rect">
                      <a:avLst/>
                    </a:prstGeom>
                    <a:noFill/>
                  </pic:spPr>
                </pic:pic>
              </a:graphicData>
            </a:graphic>
          </wp:inline>
        </w:drawing>
      </w:r>
    </w:p>
    <w:p w14:paraId="5B04D757" w14:textId="3F35017C" w:rsidR="001334E9" w:rsidRPr="00865985" w:rsidRDefault="00EA757C" w:rsidP="001334E9">
      <w:pPr>
        <w:pStyle w:val="MDPI22heading2"/>
        <w:spacing w:before="0" w:line="276" w:lineRule="auto"/>
        <w:ind w:left="0"/>
        <w:jc w:val="both"/>
        <w:rPr>
          <w:rStyle w:val="c-pjlv"/>
          <w:rFonts w:ascii="Times New Roman" w:hAnsi="Times New Roman"/>
          <w:i w:val="0"/>
          <w:sz w:val="22"/>
        </w:rPr>
      </w:pPr>
      <w:r>
        <mc:AlternateContent>
          <mc:Choice Requires="wps">
            <w:drawing>
              <wp:anchor distT="0" distB="0" distL="114300" distR="114300" simplePos="0" relativeHeight="251672576" behindDoc="0" locked="0" layoutInCell="1" allowOverlap="1" wp14:anchorId="377C0BB8" wp14:editId="6F86D7A6">
                <wp:simplePos x="0" y="0"/>
                <wp:positionH relativeFrom="column">
                  <wp:posOffset>365760</wp:posOffset>
                </wp:positionH>
                <wp:positionV relativeFrom="paragraph">
                  <wp:posOffset>951865</wp:posOffset>
                </wp:positionV>
                <wp:extent cx="91440" cy="129540"/>
                <wp:effectExtent l="0" t="0" r="3810" b="3810"/>
                <wp:wrapNone/>
                <wp:docPr id="14" name="pole tekstowe 13">
                  <a:extLst xmlns:a="http://schemas.openxmlformats.org/drawingml/2006/main">
                    <a:ext uri="{FF2B5EF4-FFF2-40B4-BE49-F238E27FC236}">
                      <a16:creationId xmlns:a16="http://schemas.microsoft.com/office/drawing/2014/main" id="{FFA7667C-97EA-38EC-34DB-AED597DD9B7A}"/>
                    </a:ext>
                  </a:extLst>
                </wp:docPr>
                <wp:cNvGraphicFramePr/>
                <a:graphic xmlns:a="http://schemas.openxmlformats.org/drawingml/2006/main">
                  <a:graphicData uri="http://schemas.microsoft.com/office/word/2010/wordprocessingShape">
                    <wps:wsp>
                      <wps:cNvSpPr txBox="1"/>
                      <wps:spPr bwMode="auto">
                        <a:xfrm>
                          <a:off x="0" y="0"/>
                          <a:ext cx="91440" cy="12954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bodyPr vertOverflow="clip" horzOverflow="clip" wrap="square" lIns="0" tIns="0" rIns="0" bIns="0" rtlCol="0" anchor="t"/>
                    </wps:wsp>
                  </a:graphicData>
                </a:graphic>
              </wp:anchor>
            </w:drawing>
          </mc:Choice>
          <mc:Fallback>
            <w:pict>
              <v:shapetype w14:anchorId="7CB7154A" id="_x0000_t202" coordsize="21600,21600" o:spt="202" path="m,l,21600r21600,l21600,xe">
                <v:stroke joinstyle="miter"/>
                <v:path gradientshapeok="t" o:connecttype="rect"/>
              </v:shapetype>
              <v:shape id="pole tekstowe 13" o:spid="_x0000_s1026" type="#_x0000_t202" style="position:absolute;margin-left:28.8pt;margin-top:74.95pt;width:7.2pt;height:10.2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U+33BwIAAF8EAAAOAAAAZHJzL2Uyb0RvYy54bWysVFGP0zAMfkfiP0R5Z92mG+KqdSdxp0NI&#10;wCEOfkCWJm1EEgcnWzd+PU66FnQ8HeIlSh37s7/Pdrc3J2fZUWE04Bu+Wiw5U15Ca3zX8G9f71+9&#10;4Swm4VthwauGn1XkN7uXL7ZDqNUaerCtQkYgPtZDaHifUqirKspeOREXEJSnRw3oRKJP7KoWxUDo&#10;zlbr5fJ1NQC2AUGqGMl6Nz7yXcHXWsn0oHVUidmGU22pnFjOfT6r3VbUHYrQG3kpQ/xDFU4YT0ln&#10;qDuRBDug+QvKGYkQQaeFBFeB1kaqwoHYrJZP2Dz2IqjChcSJYZYp/j9Y+en4GD4jS6e3cKIGZkGG&#10;EOuYjfvhI7TUNHFIUNidNLrMkupm5E2CnmcR1SkxScbr1dUVPUh6Wa2vN3QnyErUU2zAmN4pcCxf&#10;Go7UooItjh9iGl0nl5zKw72xtrTJejYQ/ma9IXgX2oZH35XY2YnyWE/pJgoXMulsVQaz/ovSzLSl&#10;9myIErv9rUU2jgTNLJU+DUYBo4DsqKmIZ8ZeQnK0KpP4zPg5qOQHn+Z4ZzxgIV72RGUCR0ET3n4v&#10;DaTC9eg/STEKkFXZQ3um1tLKpgc6tAXSVFoTOOsBfz61DbQapPOPg0DFmX3vafZIojRdcLrspwsm&#10;ewvjtgkvCbPhqYxAzk5TXIbhsnF5Tf78LuX+/i/sfgEAAP//AwBQSwMEFAAGAAgAAAAhADWKlQ3e&#10;AAAACQEAAA8AAABkcnMvZG93bnJldi54bWxMjz1PwzAQhnck/oN1SGzUpkDSpHGqCsGEhEjDwOjE&#10;bmI1PofYbcO/55jKeO89ej+KzewGdjJTsB4l3C8EMIOt1xY7CZ/1690KWIgKtRo8Ggk/JsCmvL4q&#10;VK79GStz2sWOkQmGXEnoYxxzzkPbG6fCwo8G6bf3k1ORzqnjelJnMncDXwqRcKcsUkKvRvPcm/aw&#10;OzoJ2y+sXuz3e/NR7Stb15nAt+Qg5e3NvF0Di2aOFxj+6lN1KKlT44+oAxskPKUJkaQ/ZhkwAtIl&#10;bWtISMUD8LLg/xeUvwAAAP//AwBQSwECLQAUAAYACAAAACEAtoM4kv4AAADhAQAAEwAAAAAAAAAA&#10;AAAAAAAAAAAAW0NvbnRlbnRfVHlwZXNdLnhtbFBLAQItABQABgAIAAAAIQA4/SH/1gAAAJQBAAAL&#10;AAAAAAAAAAAAAAAAAC8BAABfcmVscy8ucmVsc1BLAQItABQABgAIAAAAIQB4U+33BwIAAF8EAAAO&#10;AAAAAAAAAAAAAAAAAC4CAABkcnMvZTJvRG9jLnhtbFBLAQItABQABgAIAAAAIQA1ipUN3gAAAAkB&#10;AAAPAAAAAAAAAAAAAAAAAGEEAABkcnMvZG93bnJldi54bWxQSwUGAAAAAAQABADzAAAAbAUAAAAA&#10;" filled="f" stroked="f">
                <v:textbox inset="0,0,0,0"/>
              </v:shape>
            </w:pict>
          </mc:Fallback>
        </mc:AlternateContent>
      </w:r>
      <w:r w:rsidR="001334E9" w:rsidRPr="00865985">
        <w:rPr>
          <w:rFonts w:ascii="Times New Roman" w:hAnsi="Times New Roman"/>
          <w:b/>
          <w:bCs/>
          <w:i w:val="0"/>
          <w:sz w:val="22"/>
        </w:rPr>
        <w:t>Figure 3.</w:t>
      </w:r>
      <w:r w:rsidR="001334E9" w:rsidRPr="00865985">
        <w:rPr>
          <w:rFonts w:ascii="Times New Roman" w:hAnsi="Times New Roman"/>
          <w:i w:val="0"/>
          <w:sz w:val="22"/>
        </w:rPr>
        <w:t xml:space="preserve"> </w:t>
      </w:r>
      <w:r w:rsidR="001334E9" w:rsidRPr="00865985">
        <w:rPr>
          <w:rStyle w:val="c-pjlv"/>
          <w:rFonts w:ascii="Times New Roman" w:hAnsi="Times New Roman"/>
          <w:i w:val="0"/>
          <w:sz w:val="22"/>
        </w:rPr>
        <w:t xml:space="preserve">Relative expression of </w:t>
      </w:r>
      <w:r w:rsidR="001334E9" w:rsidRPr="00865985">
        <w:rPr>
          <w:rStyle w:val="c-pjlv"/>
          <w:rFonts w:ascii="Times New Roman" w:hAnsi="Times New Roman"/>
          <w:sz w:val="22"/>
        </w:rPr>
        <w:t>CsNR1-3</w:t>
      </w:r>
      <w:r w:rsidR="001334E9" w:rsidRPr="00865985">
        <w:rPr>
          <w:rStyle w:val="c-pjlv"/>
          <w:rFonts w:ascii="Times New Roman" w:hAnsi="Times New Roman"/>
          <w:i w:val="0"/>
          <w:sz w:val="22"/>
        </w:rPr>
        <w:t xml:space="preserve"> genes in roots of cucumber seedlings not treated (control) and treated with LT for 1 day (LT 1d) and 6 days (LT 6d). Expression was determined using real-time PCR. All results were normalized to the reference expression of </w:t>
      </w:r>
      <w:r w:rsidR="001334E9" w:rsidRPr="00865985">
        <w:rPr>
          <w:rStyle w:val="c-pjlv"/>
          <w:rFonts w:ascii="Times New Roman" w:hAnsi="Times New Roman"/>
          <w:sz w:val="22"/>
        </w:rPr>
        <w:t>CsTIP41</w:t>
      </w:r>
      <w:r w:rsidR="001334E9" w:rsidRPr="00865985">
        <w:rPr>
          <w:rStyle w:val="c-pjlv"/>
          <w:rFonts w:ascii="Times New Roman" w:hAnsi="Times New Roman"/>
          <w:i w:val="0"/>
          <w:sz w:val="22"/>
        </w:rPr>
        <w:t xml:space="preserve"> encoding the TIP41-like protein. Values presented are means ± SD from 3 replicates of 3 independent experiments. Asterisks indicate significant difference compared to control (Student’s t-test, p&lt;0.05).</w:t>
      </w:r>
    </w:p>
    <w:p w14:paraId="72B2C837" w14:textId="63C60749" w:rsidR="007821F6" w:rsidRDefault="007821F6" w:rsidP="001334E9">
      <w:pPr>
        <w:rPr>
          <w:lang w:val="en-US"/>
        </w:rPr>
      </w:pPr>
    </w:p>
    <w:p w14:paraId="592F570D" w14:textId="7A8F4581" w:rsidR="007821F6" w:rsidRPr="00F01D35" w:rsidRDefault="00D26AE9">
      <w:pPr>
        <w:rPr>
          <w:rFonts w:ascii="Times New Roman" w:hAnsi="Times New Roman" w:cs="Times New Roman"/>
          <w:lang w:val="en-US"/>
        </w:rPr>
      </w:pPr>
      <w:r w:rsidRPr="00F01D35">
        <w:rPr>
          <w:rFonts w:ascii="Times New Roman" w:hAnsi="Times New Roman" w:cs="Times New Roman"/>
          <w:lang w:val="en-US"/>
        </w:rPr>
        <w:t>Figure 4</w:t>
      </w:r>
    </w:p>
    <w:p w14:paraId="3AC9AF4E" w14:textId="18F84747" w:rsidR="00D26AE9" w:rsidRDefault="00E6659A">
      <w:pPr>
        <w:rPr>
          <w:lang w:val="en-US"/>
        </w:rPr>
      </w:pPr>
      <w:r>
        <w:rPr>
          <w:noProof/>
          <w:lang w:val="en-US"/>
        </w:rPr>
        <w:drawing>
          <wp:inline distT="0" distB="0" distL="0" distR="0" wp14:anchorId="5E9A70D1" wp14:editId="58E65FDB">
            <wp:extent cx="3676015" cy="2585085"/>
            <wp:effectExtent l="0" t="0" r="635" b="5715"/>
            <wp:docPr id="1741110897"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676015" cy="2585085"/>
                    </a:xfrm>
                    <a:prstGeom prst="rect">
                      <a:avLst/>
                    </a:prstGeom>
                    <a:noFill/>
                  </pic:spPr>
                </pic:pic>
              </a:graphicData>
            </a:graphic>
          </wp:inline>
        </w:drawing>
      </w:r>
    </w:p>
    <w:p w14:paraId="790D443B" w14:textId="77777777" w:rsidR="00F01D35" w:rsidRPr="00453787" w:rsidRDefault="00F01D35" w:rsidP="00F01D35">
      <w:pPr>
        <w:pStyle w:val="MDPI22heading2"/>
        <w:spacing w:before="0" w:line="276" w:lineRule="auto"/>
        <w:ind w:left="0"/>
        <w:jc w:val="both"/>
        <w:rPr>
          <w:rFonts w:ascii="Times New Roman" w:hAnsi="Times New Roman"/>
          <w:i w:val="0"/>
          <w:sz w:val="24"/>
          <w:szCs w:val="28"/>
        </w:rPr>
      </w:pPr>
      <w:r w:rsidRPr="00453787">
        <w:rPr>
          <w:rFonts w:ascii="Times New Roman" w:hAnsi="Times New Roman"/>
          <w:b/>
          <w:bCs/>
          <w:i w:val="0"/>
          <w:sz w:val="22"/>
        </w:rPr>
        <w:t>Figure 4.</w:t>
      </w:r>
      <w:r w:rsidRPr="00453787">
        <w:rPr>
          <w:rFonts w:ascii="Times New Roman" w:hAnsi="Times New Roman"/>
          <w:i w:val="0"/>
          <w:sz w:val="22"/>
        </w:rPr>
        <w:t xml:space="preserve"> Nitrite reductase (NiR) activity in roots of cucumber seedlings </w:t>
      </w:r>
      <w:r w:rsidRPr="00453787">
        <w:rPr>
          <w:rStyle w:val="c-pjlv"/>
          <w:rFonts w:ascii="Times New Roman" w:hAnsi="Times New Roman"/>
          <w:i w:val="0"/>
          <w:sz w:val="22"/>
        </w:rPr>
        <w:t>not treated (control) and treated with LT for 1 day (LT 1d) and 6 days (LT 6d). Data p</w:t>
      </w:r>
      <w:r w:rsidRPr="00453787">
        <w:rPr>
          <w:rFonts w:ascii="Times New Roman" w:hAnsi="Times New Roman"/>
          <w:i w:val="0"/>
          <w:sz w:val="22"/>
        </w:rPr>
        <w:t>resented are means of 3 replications of 5 independent experiments. Error bars represent SD. Asterisks indicate significant difference compared to control (Student’s t-test, p&lt;0.05).</w:t>
      </w:r>
      <w:r w:rsidRPr="00453787">
        <w:rPr>
          <w:rFonts w:ascii="Times New Roman" w:hAnsi="Times New Roman"/>
          <w:b/>
          <w:bCs/>
          <w:sz w:val="22"/>
        </w:rPr>
        <w:t xml:space="preserve"> </w:t>
      </w:r>
    </w:p>
    <w:p w14:paraId="03A9B711" w14:textId="77777777" w:rsidR="007821F6" w:rsidRDefault="007821F6">
      <w:pPr>
        <w:rPr>
          <w:lang w:val="en-US"/>
        </w:rPr>
      </w:pPr>
    </w:p>
    <w:p w14:paraId="689C07E1" w14:textId="77777777" w:rsidR="007821F6" w:rsidRDefault="007821F6">
      <w:pPr>
        <w:rPr>
          <w:lang w:val="en-US"/>
        </w:rPr>
      </w:pPr>
    </w:p>
    <w:p w14:paraId="76B24CB6" w14:textId="77777777" w:rsidR="007821F6" w:rsidRDefault="007821F6">
      <w:pPr>
        <w:rPr>
          <w:lang w:val="en-US"/>
        </w:rPr>
      </w:pPr>
    </w:p>
    <w:p w14:paraId="7A945CFB" w14:textId="56644550" w:rsidR="007821F6" w:rsidRPr="00D87457" w:rsidRDefault="00385A90">
      <w:pPr>
        <w:rPr>
          <w:rFonts w:ascii="Times New Roman" w:hAnsi="Times New Roman" w:cs="Times New Roman"/>
          <w:b/>
          <w:bCs/>
          <w:lang w:val="en-US"/>
        </w:rPr>
      </w:pPr>
      <w:r w:rsidRPr="00D87457">
        <w:rPr>
          <w:rFonts w:ascii="Times New Roman" w:hAnsi="Times New Roman" w:cs="Times New Roman"/>
          <w:b/>
          <w:bCs/>
          <w:lang w:val="en-US"/>
        </w:rPr>
        <w:lastRenderedPageBreak/>
        <w:t>Figure 5</w:t>
      </w:r>
    </w:p>
    <w:p w14:paraId="7B8C121F" w14:textId="503EF23E" w:rsidR="00352F55" w:rsidRDefault="00E93834">
      <w:pPr>
        <w:rPr>
          <w:lang w:val="en-US"/>
        </w:rPr>
      </w:pPr>
      <w:r>
        <w:rPr>
          <w:noProof/>
          <w:lang w:val="en-US"/>
        </w:rPr>
        <w:drawing>
          <wp:inline distT="0" distB="0" distL="0" distR="0" wp14:anchorId="2EF64D5A" wp14:editId="3EFE8A1F">
            <wp:extent cx="3676015" cy="2573020"/>
            <wp:effectExtent l="0" t="0" r="635" b="0"/>
            <wp:docPr id="715959073"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76015" cy="2573020"/>
                    </a:xfrm>
                    <a:prstGeom prst="rect">
                      <a:avLst/>
                    </a:prstGeom>
                    <a:noFill/>
                  </pic:spPr>
                </pic:pic>
              </a:graphicData>
            </a:graphic>
          </wp:inline>
        </w:drawing>
      </w:r>
    </w:p>
    <w:p w14:paraId="2252A843" w14:textId="77777777" w:rsidR="00D87457" w:rsidRPr="00E51EC5" w:rsidRDefault="00D87457" w:rsidP="00D87457">
      <w:pPr>
        <w:pStyle w:val="MDPI31text"/>
        <w:spacing w:line="276" w:lineRule="auto"/>
        <w:ind w:left="0" w:firstLine="0"/>
        <w:rPr>
          <w:rStyle w:val="c-pjlv"/>
          <w:rFonts w:ascii="Times New Roman" w:hAnsi="Times New Roman"/>
          <w:sz w:val="22"/>
        </w:rPr>
      </w:pPr>
      <w:r w:rsidRPr="00E51EC5">
        <w:rPr>
          <w:rFonts w:ascii="Times New Roman" w:hAnsi="Times New Roman"/>
          <w:b/>
          <w:bCs/>
          <w:sz w:val="22"/>
        </w:rPr>
        <w:t>Figure 5.</w:t>
      </w:r>
      <w:r w:rsidRPr="00E51EC5">
        <w:rPr>
          <w:rFonts w:ascii="Times New Roman" w:hAnsi="Times New Roman"/>
          <w:sz w:val="22"/>
        </w:rPr>
        <w:t xml:space="preserve"> </w:t>
      </w:r>
      <w:r w:rsidRPr="00E51EC5">
        <w:rPr>
          <w:rStyle w:val="c-pjlv"/>
          <w:rFonts w:ascii="Times New Roman" w:hAnsi="Times New Roman"/>
          <w:sz w:val="22"/>
        </w:rPr>
        <w:t>NOS-like activity measured as arginine-dependent NADPH oxidation in extracts prepared from roots of cucumber seedlings not treated (control) and treated with LT for 1 d (LT 1d) and 6 d (LT 6d). Data presented are means of 3 replicates of 3 independent experiments, with error bars representing the SD. Asterisks indicate significant difference compared to control (Student’s t-test, p&lt;0.05).</w:t>
      </w:r>
    </w:p>
    <w:p w14:paraId="691733B8" w14:textId="77777777" w:rsidR="005050ED" w:rsidRDefault="005050ED">
      <w:pPr>
        <w:rPr>
          <w:lang w:val="en-US"/>
        </w:rPr>
      </w:pPr>
    </w:p>
    <w:p w14:paraId="672FAF93" w14:textId="10CB7A15" w:rsidR="007821F6" w:rsidRPr="00F64759" w:rsidRDefault="0041726E">
      <w:pPr>
        <w:rPr>
          <w:rFonts w:ascii="Times New Roman" w:hAnsi="Times New Roman" w:cs="Times New Roman"/>
          <w:b/>
          <w:bCs/>
          <w:lang w:val="en-US"/>
        </w:rPr>
      </w:pPr>
      <w:r w:rsidRPr="00F64759">
        <w:rPr>
          <w:rFonts w:ascii="Times New Roman" w:hAnsi="Times New Roman" w:cs="Times New Roman"/>
          <w:b/>
          <w:bCs/>
          <w:lang w:val="en-US"/>
        </w:rPr>
        <w:t>Figure 6</w:t>
      </w:r>
    </w:p>
    <w:p w14:paraId="35AF3F85" w14:textId="73110E84" w:rsidR="00E22F4F" w:rsidRDefault="00E22F4F">
      <w:pPr>
        <w:rPr>
          <w:lang w:val="en-US"/>
        </w:rPr>
      </w:pPr>
      <w:r>
        <w:rPr>
          <w:noProof/>
          <w:lang w:val="en-US"/>
        </w:rPr>
        <w:drawing>
          <wp:inline distT="0" distB="0" distL="0" distR="0" wp14:anchorId="5E3F1BEC" wp14:editId="29C48438">
            <wp:extent cx="3651885" cy="2566670"/>
            <wp:effectExtent l="0" t="0" r="5715" b="5080"/>
            <wp:docPr id="1873582093"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51885" cy="2566670"/>
                    </a:xfrm>
                    <a:prstGeom prst="rect">
                      <a:avLst/>
                    </a:prstGeom>
                    <a:noFill/>
                  </pic:spPr>
                </pic:pic>
              </a:graphicData>
            </a:graphic>
          </wp:inline>
        </w:drawing>
      </w:r>
    </w:p>
    <w:p w14:paraId="410334AB" w14:textId="77777777" w:rsidR="002D3F81" w:rsidRPr="005F360D" w:rsidRDefault="002D3F81" w:rsidP="002D3F81">
      <w:pPr>
        <w:pStyle w:val="MDPI31text"/>
        <w:spacing w:line="276" w:lineRule="auto"/>
        <w:ind w:left="0" w:firstLine="0"/>
        <w:rPr>
          <w:rFonts w:ascii="Times New Roman" w:hAnsi="Times New Roman"/>
          <w:sz w:val="22"/>
        </w:rPr>
      </w:pPr>
      <w:r w:rsidRPr="005F360D">
        <w:rPr>
          <w:rFonts w:ascii="Times New Roman" w:hAnsi="Times New Roman"/>
          <w:b/>
          <w:bCs/>
          <w:sz w:val="22"/>
        </w:rPr>
        <w:t>Figure 6</w:t>
      </w:r>
      <w:r w:rsidRPr="005F360D">
        <w:rPr>
          <w:rFonts w:ascii="Times New Roman" w:hAnsi="Times New Roman"/>
          <w:sz w:val="22"/>
        </w:rPr>
        <w:t xml:space="preserve">. Relative expression of </w:t>
      </w:r>
      <w:r w:rsidRPr="005F360D">
        <w:rPr>
          <w:rFonts w:ascii="Times New Roman" w:hAnsi="Times New Roman"/>
          <w:i/>
          <w:iCs/>
          <w:sz w:val="22"/>
        </w:rPr>
        <w:t>CsARC</w:t>
      </w:r>
      <w:r w:rsidRPr="005F360D">
        <w:rPr>
          <w:rFonts w:ascii="Times New Roman" w:hAnsi="Times New Roman"/>
          <w:sz w:val="22"/>
        </w:rPr>
        <w:t xml:space="preserve"> in the roots of cucumber seedlings not treated (control) and treated with LT for 1 d (LT 1d) and 6 d (LT 6d). Expression was determined by real-time PCR. The results were normalized to the reference expression of </w:t>
      </w:r>
      <w:r w:rsidRPr="005F360D">
        <w:rPr>
          <w:rFonts w:ascii="Times New Roman" w:hAnsi="Times New Roman"/>
          <w:i/>
          <w:iCs/>
          <w:sz w:val="22"/>
        </w:rPr>
        <w:t>CsCACS</w:t>
      </w:r>
      <w:r w:rsidRPr="005F360D">
        <w:rPr>
          <w:rFonts w:ascii="Times New Roman" w:hAnsi="Times New Roman"/>
          <w:sz w:val="22"/>
        </w:rPr>
        <w:t>, which encodes a clathrin adaptor complex subunit. Presented values are means ± SD of 3 replicates of 3 independent experiments. Asterisks indicate significant difference compared to control (Student’s t-test, p&lt;0.05).</w:t>
      </w:r>
    </w:p>
    <w:p w14:paraId="1C20BA91" w14:textId="77777777" w:rsidR="007821F6" w:rsidRDefault="007821F6">
      <w:pPr>
        <w:rPr>
          <w:lang w:val="en-US"/>
        </w:rPr>
      </w:pPr>
    </w:p>
    <w:p w14:paraId="17C74B86" w14:textId="77777777" w:rsidR="007821F6" w:rsidRPr="000068E8" w:rsidRDefault="007821F6">
      <w:pPr>
        <w:rPr>
          <w:lang w:val="en-US"/>
        </w:rPr>
      </w:pPr>
    </w:p>
    <w:sectPr w:rsidR="007821F6" w:rsidRPr="000068E8" w:rsidSect="000D4F1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8E8"/>
    <w:rsid w:val="000068E8"/>
    <w:rsid w:val="00014F59"/>
    <w:rsid w:val="00016E71"/>
    <w:rsid w:val="00022F35"/>
    <w:rsid w:val="00032F5F"/>
    <w:rsid w:val="00044146"/>
    <w:rsid w:val="00044FBC"/>
    <w:rsid w:val="000A6106"/>
    <w:rsid w:val="000B1106"/>
    <w:rsid w:val="000C38BE"/>
    <w:rsid w:val="000C4A01"/>
    <w:rsid w:val="000D4F13"/>
    <w:rsid w:val="00103724"/>
    <w:rsid w:val="001302A6"/>
    <w:rsid w:val="001334E9"/>
    <w:rsid w:val="00143A91"/>
    <w:rsid w:val="00194574"/>
    <w:rsid w:val="0019774F"/>
    <w:rsid w:val="001A5071"/>
    <w:rsid w:val="001C258A"/>
    <w:rsid w:val="001E4B0B"/>
    <w:rsid w:val="00216C89"/>
    <w:rsid w:val="002502D3"/>
    <w:rsid w:val="00253836"/>
    <w:rsid w:val="00264797"/>
    <w:rsid w:val="002A1212"/>
    <w:rsid w:val="002C7397"/>
    <w:rsid w:val="002D3F81"/>
    <w:rsid w:val="003106F2"/>
    <w:rsid w:val="00347EA5"/>
    <w:rsid w:val="00352F55"/>
    <w:rsid w:val="003830A8"/>
    <w:rsid w:val="00385A90"/>
    <w:rsid w:val="003A3E62"/>
    <w:rsid w:val="003B3BFC"/>
    <w:rsid w:val="003C3776"/>
    <w:rsid w:val="003C3B93"/>
    <w:rsid w:val="00414CBF"/>
    <w:rsid w:val="0041726E"/>
    <w:rsid w:val="00443AB0"/>
    <w:rsid w:val="004770FE"/>
    <w:rsid w:val="004F40B5"/>
    <w:rsid w:val="005050ED"/>
    <w:rsid w:val="00525836"/>
    <w:rsid w:val="005302D0"/>
    <w:rsid w:val="00537339"/>
    <w:rsid w:val="00576DE0"/>
    <w:rsid w:val="0058693F"/>
    <w:rsid w:val="005B472F"/>
    <w:rsid w:val="005F26AE"/>
    <w:rsid w:val="005F773C"/>
    <w:rsid w:val="006106A2"/>
    <w:rsid w:val="00626D4E"/>
    <w:rsid w:val="00643AE6"/>
    <w:rsid w:val="00650888"/>
    <w:rsid w:val="006678A8"/>
    <w:rsid w:val="00694D9A"/>
    <w:rsid w:val="006A177D"/>
    <w:rsid w:val="006F14C1"/>
    <w:rsid w:val="006F21F3"/>
    <w:rsid w:val="006F2B03"/>
    <w:rsid w:val="00771A6C"/>
    <w:rsid w:val="007821F6"/>
    <w:rsid w:val="007A53E7"/>
    <w:rsid w:val="007B748C"/>
    <w:rsid w:val="00815D7E"/>
    <w:rsid w:val="00832186"/>
    <w:rsid w:val="008739DA"/>
    <w:rsid w:val="00891C37"/>
    <w:rsid w:val="008B6B51"/>
    <w:rsid w:val="008F02E6"/>
    <w:rsid w:val="009065A6"/>
    <w:rsid w:val="0092769B"/>
    <w:rsid w:val="00933047"/>
    <w:rsid w:val="0094017F"/>
    <w:rsid w:val="00944E02"/>
    <w:rsid w:val="00956261"/>
    <w:rsid w:val="009C3C4B"/>
    <w:rsid w:val="009D4718"/>
    <w:rsid w:val="009D6842"/>
    <w:rsid w:val="00A5141C"/>
    <w:rsid w:val="00A55DB9"/>
    <w:rsid w:val="00A60BFA"/>
    <w:rsid w:val="00A80145"/>
    <w:rsid w:val="00A85293"/>
    <w:rsid w:val="00A90373"/>
    <w:rsid w:val="00A92CFA"/>
    <w:rsid w:val="00AB27BE"/>
    <w:rsid w:val="00AD33B2"/>
    <w:rsid w:val="00B01A9A"/>
    <w:rsid w:val="00B0754F"/>
    <w:rsid w:val="00B13671"/>
    <w:rsid w:val="00B25807"/>
    <w:rsid w:val="00B57500"/>
    <w:rsid w:val="00B63C3F"/>
    <w:rsid w:val="00B65A46"/>
    <w:rsid w:val="00BA7063"/>
    <w:rsid w:val="00C13320"/>
    <w:rsid w:val="00C209EC"/>
    <w:rsid w:val="00C301E2"/>
    <w:rsid w:val="00C900F7"/>
    <w:rsid w:val="00C97315"/>
    <w:rsid w:val="00CA7737"/>
    <w:rsid w:val="00CB24F5"/>
    <w:rsid w:val="00CB268B"/>
    <w:rsid w:val="00CF09CC"/>
    <w:rsid w:val="00CF70C0"/>
    <w:rsid w:val="00D0566F"/>
    <w:rsid w:val="00D10011"/>
    <w:rsid w:val="00D26AE9"/>
    <w:rsid w:val="00D40744"/>
    <w:rsid w:val="00D5297D"/>
    <w:rsid w:val="00D72275"/>
    <w:rsid w:val="00D87457"/>
    <w:rsid w:val="00E22F4F"/>
    <w:rsid w:val="00E33D46"/>
    <w:rsid w:val="00E37677"/>
    <w:rsid w:val="00E46BF0"/>
    <w:rsid w:val="00E5293B"/>
    <w:rsid w:val="00E52A0C"/>
    <w:rsid w:val="00E6659A"/>
    <w:rsid w:val="00E733EC"/>
    <w:rsid w:val="00E9284D"/>
    <w:rsid w:val="00E93834"/>
    <w:rsid w:val="00EA757C"/>
    <w:rsid w:val="00ED4B53"/>
    <w:rsid w:val="00F01D35"/>
    <w:rsid w:val="00F05913"/>
    <w:rsid w:val="00F255E5"/>
    <w:rsid w:val="00F40586"/>
    <w:rsid w:val="00F64759"/>
    <w:rsid w:val="00FB73DF"/>
    <w:rsid w:val="00FE191D"/>
    <w:rsid w:val="00FF22FE"/>
    <w:rsid w:val="00FF2641"/>
    <w:rsid w:val="58528524"/>
    <w:rsid w:val="67B11D80"/>
    <w:rsid w:val="7DD23D5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EFDD04"/>
  <w15:chartTrackingRefBased/>
  <w15:docId w15:val="{090F0B16-3CEB-49CD-9597-D6A6E8BC1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9065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pjlv">
    <w:name w:val="c-pjlv"/>
    <w:basedOn w:val="Domylnaczcionkaakapitu"/>
    <w:rsid w:val="0092769B"/>
  </w:style>
  <w:style w:type="paragraph" w:styleId="Tekstkomentarza">
    <w:name w:val="annotation text"/>
    <w:basedOn w:val="Normalny"/>
    <w:link w:val="TekstkomentarzaZnak"/>
    <w:uiPriority w:val="99"/>
    <w:semiHidden/>
    <w:unhideWhenUsed/>
    <w:pPr>
      <w:spacing w:line="240" w:lineRule="auto"/>
    </w:pPr>
    <w:rPr>
      <w:sz w:val="20"/>
      <w:szCs w:val="20"/>
    </w:rPr>
  </w:style>
  <w:style w:type="character" w:customStyle="1" w:styleId="TekstkomentarzaZnak">
    <w:name w:val="Tekst komentarza Znak"/>
    <w:basedOn w:val="Domylnaczcionkaakapitu"/>
    <w:link w:val="Tekstkomentarza"/>
    <w:uiPriority w:val="99"/>
    <w:semiHidden/>
    <w:rPr>
      <w:sz w:val="20"/>
      <w:szCs w:val="20"/>
    </w:rPr>
  </w:style>
  <w:style w:type="character" w:styleId="Odwoaniedokomentarza">
    <w:name w:val="annotation reference"/>
    <w:basedOn w:val="Domylnaczcionkaakapitu"/>
    <w:uiPriority w:val="99"/>
    <w:semiHidden/>
    <w:unhideWhenUsed/>
    <w:rPr>
      <w:sz w:val="16"/>
      <w:szCs w:val="16"/>
    </w:rPr>
  </w:style>
  <w:style w:type="paragraph" w:styleId="Poprawka">
    <w:name w:val="Revision"/>
    <w:hidden/>
    <w:uiPriority w:val="99"/>
    <w:semiHidden/>
    <w:rsid w:val="00A92CFA"/>
    <w:pPr>
      <w:spacing w:after="0" w:line="240" w:lineRule="auto"/>
    </w:pPr>
  </w:style>
  <w:style w:type="paragraph" w:customStyle="1" w:styleId="MDPI31text">
    <w:name w:val="MDPI_3.1_text"/>
    <w:qFormat/>
    <w:rsid w:val="007A53E7"/>
    <w:pPr>
      <w:adjustRightInd w:val="0"/>
      <w:snapToGrid w:val="0"/>
      <w:spacing w:after="0" w:line="228" w:lineRule="auto"/>
      <w:ind w:left="2608" w:firstLine="425"/>
      <w:jc w:val="both"/>
    </w:pPr>
    <w:rPr>
      <w:rFonts w:ascii="Palatino Linotype" w:eastAsia="Times New Roman" w:hAnsi="Palatino Linotype" w:cs="Times New Roman"/>
      <w:snapToGrid w:val="0"/>
      <w:color w:val="000000"/>
      <w:kern w:val="0"/>
      <w:sz w:val="20"/>
      <w:lang w:val="en-US" w:eastAsia="de-DE" w:bidi="en-US"/>
      <w14:ligatures w14:val="none"/>
    </w:rPr>
  </w:style>
  <w:style w:type="paragraph" w:customStyle="1" w:styleId="MDPI22heading2">
    <w:name w:val="MDPI_2.2_heading2"/>
    <w:qFormat/>
    <w:rsid w:val="00FF22FE"/>
    <w:pPr>
      <w:adjustRightInd w:val="0"/>
      <w:snapToGrid w:val="0"/>
      <w:spacing w:before="60" w:after="60" w:line="228" w:lineRule="auto"/>
      <w:ind w:left="2608"/>
      <w:outlineLvl w:val="1"/>
    </w:pPr>
    <w:rPr>
      <w:rFonts w:ascii="Palatino Linotype" w:eastAsia="Times New Roman" w:hAnsi="Palatino Linotype" w:cs="Times New Roman"/>
      <w:i/>
      <w:noProof/>
      <w:snapToGrid w:val="0"/>
      <w:color w:val="000000"/>
      <w:kern w:val="0"/>
      <w:sz w:val="20"/>
      <w:lang w:val="en-US" w:eastAsia="de-DE" w:bidi="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C6D8EA-ACEB-4F89-80A6-7BC238F75F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971</Words>
  <Characters>5831</Characters>
  <Application>Microsoft Office Word</Application>
  <DocSecurity>0</DocSecurity>
  <Lines>48</Lines>
  <Paragraphs>13</Paragraphs>
  <ScaleCrop>false</ScaleCrop>
  <Company/>
  <LinksUpToDate>false</LinksUpToDate>
  <CharactersWithSpaces>6789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Małgorzata Reda</dc:creator>
  <cp:keywords/>
  <dc:description/>
  <cp:lastModifiedBy>Diana Szczęsna</cp:lastModifiedBy>
  <cp:revision>2</cp:revision>
  <dcterms:created xsi:type="dcterms:W3CDTF">2024-03-20T08:33:00Z</dcterms:created>
  <dcterms:modified xsi:type="dcterms:W3CDTF">2024-03-20T08:33:00Z</dcterms:modified>
</cp:coreProperties>
</file>